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  <w:lang w:val="ru-RU"/>
        </w:rPr>
        <w:t xml:space="preserve">Отчеты об исполнении предписаний органов, осуществляющих государственный контроль  (надзор) в сфере образования за 2023- 2024 учебный </w:t>
      </w:r>
      <w:bookmarkStart w:id="0" w:name="_GoBack"/>
      <w:bookmarkEnd w:id="0"/>
      <w:r>
        <w:rPr>
          <w:rFonts w:hint="default" w:ascii="Times New Roman" w:hAnsi="Times New Roman" w:cs="Times New Roman"/>
          <w:color w:val="FF0000"/>
          <w:sz w:val="24"/>
          <w:szCs w:val="24"/>
          <w:lang w:val="ru-RU"/>
        </w:rPr>
        <w:t>год</w:t>
      </w: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tbl>
      <w:tblPr>
        <w:tblStyle w:val="4"/>
        <w:tblW w:w="144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216"/>
        <w:gridCol w:w="2056"/>
        <w:gridCol w:w="6196"/>
        <w:gridCol w:w="2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Проверяющая организация</w:t>
            </w:r>
          </w:p>
        </w:tc>
        <w:tc>
          <w:tcPr>
            <w:tcW w:w="2130" w:type="dxa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Дата предписания</w:t>
            </w:r>
          </w:p>
        </w:tc>
        <w:tc>
          <w:tcPr>
            <w:tcW w:w="6973" w:type="dxa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Содержание предписания</w:t>
            </w:r>
          </w:p>
        </w:tc>
        <w:tc>
          <w:tcPr>
            <w:tcW w:w="3216" w:type="dxa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Выполнение предписания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Управление Федеральной службы по надзору в сфере защиты прав потребителей и благополучия человека по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Самарской области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_________________________ (Управление Роспотребнадзора по Самарской области)</w:t>
            </w:r>
          </w:p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130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№ 05/88 от </w:t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4.03.2024 г.</w:t>
            </w:r>
          </w:p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6973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 Учебную доску, для работы с ’ которой используется мел, оборудовать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дополнительными источниками искусственного освещения, направленного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непосредственно на рабочее поле в кабинете информатики (п. 2.4.4)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 Окна в кабинетах физики, информатики, химии-биологии оборудовать регулируемыми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солнцезащитными устройствами (подъемно-поворотные жалюзи, тканевые шторы) с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длиной не ниже уровня подоконника (п. 2.4.13)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 Восстановить целостность отделки пола в библиотеке - центр детских инициатив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(механическое повреждение линолеума - порван), в туалете для мальчиков (отсутствует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часть плитки на полу), (п. 2.5.2)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 Восстановить целостность отделки потолка в библиотеке - центре детских инициатив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(следы протечки, трещины, отлетает штукатурка) (п. 2.5.3)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5 Своевременно проводить чистку оконных стекол на лестнице, в коридорах и на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пищеблоке (на момент проверки между стеклами пыль, грязь). Решить вопрос о замене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ветхих окон (п. 2.8.3)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Обеспечить холодным и горячим водоснабжением кабинет химии-биологии, кабинет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физики, лаборантские химии-биологии и физики (п. 3.4.13) </w:t>
            </w:r>
          </w:p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216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Направлено письмо в адрес Комитета по  управлению муниципальной собственностью администрации муниципального района  Красноярский Самарской области об устранении недостатков, указанных в предписании.</w:t>
            </w:r>
          </w:p>
        </w:tc>
      </w:tr>
    </w:tbl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9945DB"/>
    <w:rsid w:val="042D15AE"/>
    <w:rsid w:val="2299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2024-04-30T10:41:00Z</dcterms:created>
  <dc:creator>Татьяна Якушева</dc:creator>
  <cp:lastModifiedBy>Татьяна Якушева</cp:lastModifiedBy>
  <dcterms:modified xsi:type="dcterms:W3CDTF">2024-04-30T10:55:40Z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BDE6531BB4504FB2AA9A4D9FADA82143_13</vt:lpwstr>
  </property>
</Properties>
</file>